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2241"/>
        <w:gridCol w:w="453"/>
        <w:gridCol w:w="2121"/>
        <w:gridCol w:w="1423"/>
        <w:gridCol w:w="922"/>
        <w:gridCol w:w="2532"/>
        <w:gridCol w:w="35"/>
      </w:tblGrid>
      <w:tr w:rsidR="0091703E" w:rsidRPr="0091703E" w:rsidTr="00240DB5">
        <w:trPr>
          <w:gridBefore w:val="1"/>
          <w:wBefore w:w="37" w:type="dxa"/>
          <w:trHeight w:val="1105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830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03E" w:rsidRPr="006E36E0" w:rsidRDefault="00240DB5" w:rsidP="00D454A3">
            <w:pPr>
              <w:spacing w:after="0" w:line="240" w:lineRule="auto"/>
              <w:jc w:val="both"/>
              <w:rPr>
                <w:rFonts w:ascii="Gadugi" w:hAnsi="Gadugi" w:cs="Arial"/>
                <w:color w:val="FFFFFF" w:themeColor="background1"/>
                <w:sz w:val="40"/>
                <w:szCs w:val="60"/>
                <w:lang w:val="es-ES"/>
              </w:rPr>
            </w:pPr>
            <w:r>
              <w:rPr>
                <w:rFonts w:ascii="Gadugi" w:hAnsi="Gadugi" w:cs="Arial"/>
                <w:noProof/>
                <w:color w:val="FFFFFF" w:themeColor="background1"/>
                <w:sz w:val="40"/>
                <w:szCs w:val="60"/>
                <w:lang w:val="es-CL" w:eastAsia="es-CL"/>
              </w:rPr>
              <w:drawing>
                <wp:inline distT="0" distB="0" distL="0" distR="0">
                  <wp:extent cx="1619250" cy="55860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TG_fond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6" r="14064" b="35738"/>
                          <a:stretch/>
                        </pic:blipFill>
                        <pic:spPr bwMode="auto">
                          <a:xfrm>
                            <a:off x="0" y="0"/>
                            <a:ext cx="1619250" cy="558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8300"/>
            <w:vAlign w:val="center"/>
          </w:tcPr>
          <w:p w:rsidR="0091703E" w:rsidRPr="006E36E0" w:rsidRDefault="0091703E" w:rsidP="00974A19">
            <w:pPr>
              <w:spacing w:after="0" w:line="240" w:lineRule="auto"/>
              <w:ind w:left="142" w:right="141"/>
              <w:jc w:val="center"/>
              <w:rPr>
                <w:rFonts w:ascii="Gadugi" w:hAnsi="Gadugi" w:cs="Arial"/>
                <w:i/>
                <w:color w:val="FFFFFF" w:themeColor="background1"/>
                <w:sz w:val="16"/>
                <w:lang w:val="es-ES"/>
              </w:rPr>
            </w:pPr>
            <w:r w:rsidRPr="006E36E0">
              <w:rPr>
                <w:rFonts w:ascii="Gadugi" w:hAnsi="Gadugi" w:cs="Arial"/>
                <w:color w:val="FFFFFF" w:themeColor="background1"/>
                <w:sz w:val="40"/>
                <w:szCs w:val="60"/>
                <w:lang w:val="es-ES"/>
              </w:rPr>
              <w:t xml:space="preserve">Matriz de </w:t>
            </w:r>
            <w:r w:rsidR="00974A19" w:rsidRPr="006E36E0">
              <w:rPr>
                <w:rFonts w:ascii="Gadugi" w:hAnsi="Gadugi" w:cs="Arial"/>
                <w:color w:val="FFFFFF" w:themeColor="background1"/>
                <w:sz w:val="40"/>
                <w:szCs w:val="60"/>
                <w:lang w:val="es-ES"/>
              </w:rPr>
              <w:t>Análisis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8300"/>
            <w:vAlign w:val="center"/>
          </w:tcPr>
          <w:p w:rsidR="0091703E" w:rsidRPr="006E36E0" w:rsidRDefault="0091703E" w:rsidP="00240DB5">
            <w:pPr>
              <w:spacing w:before="240"/>
              <w:ind w:left="156" w:right="141"/>
              <w:jc w:val="right"/>
              <w:rPr>
                <w:color w:val="FFFFFF" w:themeColor="background1"/>
                <w:sz w:val="20"/>
                <w:szCs w:val="20"/>
              </w:rPr>
            </w:pPr>
            <w:r w:rsidRPr="00240DB5">
              <w:rPr>
                <w:color w:val="FFFFFF" w:themeColor="background1"/>
                <w:sz w:val="18"/>
                <w:lang w:val="es-ES"/>
              </w:rPr>
              <w:t>Matriz para la aplicación del derecho a la igualdad y el principio de no discriminación</w:t>
            </w:r>
          </w:p>
        </w:tc>
      </w:tr>
      <w:tr w:rsidR="0091703E" w:rsidRPr="0091703E" w:rsidTr="00240DB5">
        <w:trPr>
          <w:gridBefore w:val="1"/>
          <w:wBefore w:w="37" w:type="dxa"/>
          <w:trHeight w:val="310"/>
          <w:jc w:val="center"/>
        </w:trPr>
        <w:tc>
          <w:tcPr>
            <w:tcW w:w="9727" w:type="dxa"/>
            <w:gridSpan w:val="7"/>
            <w:tcBorders>
              <w:top w:val="nil"/>
            </w:tcBorders>
            <w:shd w:val="clear" w:color="auto" w:fill="622D5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03E" w:rsidRPr="0091703E" w:rsidRDefault="0091703E" w:rsidP="00D454A3">
            <w:pPr>
              <w:spacing w:after="0" w:line="256" w:lineRule="auto"/>
              <w:jc w:val="both"/>
              <w:rPr>
                <w:rFonts w:cs="Calibri"/>
                <w:b/>
              </w:rPr>
            </w:pPr>
            <w:r w:rsidRPr="00240DB5">
              <w:rPr>
                <w:rFonts w:cs="Calibri"/>
                <w:b/>
                <w:bCs/>
                <w:color w:val="FFFFFF" w:themeColor="background1"/>
                <w:kern w:val="24"/>
              </w:rPr>
              <w:t>INFORMACIÓN GENERAL</w:t>
            </w:r>
          </w:p>
        </w:tc>
      </w:tr>
      <w:tr w:rsidR="0091703E" w:rsidRPr="0091703E" w:rsidTr="00240DB5">
        <w:trPr>
          <w:gridBefore w:val="1"/>
          <w:wBefore w:w="37" w:type="dxa"/>
          <w:trHeight w:val="303"/>
          <w:jc w:val="center"/>
        </w:trPr>
        <w:tc>
          <w:tcPr>
            <w:tcW w:w="6238" w:type="dxa"/>
            <w:gridSpan w:val="4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703E" w:rsidRPr="0091703E" w:rsidRDefault="0091703E" w:rsidP="00D454A3">
            <w:pPr>
              <w:spacing w:after="0" w:line="256" w:lineRule="auto"/>
              <w:ind w:left="67"/>
              <w:jc w:val="both"/>
              <w:rPr>
                <w:rFonts w:cs="Calibri"/>
                <w:sz w:val="20"/>
              </w:rPr>
            </w:pPr>
            <w:r w:rsidRPr="0091703E">
              <w:rPr>
                <w:rFonts w:cs="Calibri"/>
                <w:b/>
                <w:bCs/>
                <w:kern w:val="24"/>
                <w:sz w:val="20"/>
              </w:rPr>
              <w:t xml:space="preserve">Número de Rol/Caso: </w:t>
            </w:r>
          </w:p>
        </w:tc>
        <w:tc>
          <w:tcPr>
            <w:tcW w:w="3489" w:type="dxa"/>
            <w:gridSpan w:val="3"/>
            <w:shd w:val="clear" w:color="auto" w:fill="FFFFFF"/>
            <w:vAlign w:val="center"/>
          </w:tcPr>
          <w:p w:rsidR="0091703E" w:rsidRPr="0091703E" w:rsidRDefault="0091703E" w:rsidP="00D454A3">
            <w:pPr>
              <w:spacing w:after="0" w:line="256" w:lineRule="auto"/>
              <w:ind w:left="142"/>
              <w:jc w:val="both"/>
              <w:rPr>
                <w:rFonts w:cs="Calibri"/>
                <w:sz w:val="20"/>
              </w:rPr>
            </w:pPr>
            <w:r w:rsidRPr="0091703E">
              <w:rPr>
                <w:rFonts w:cs="Calibri"/>
                <w:b/>
                <w:bCs/>
                <w:kern w:val="24"/>
                <w:sz w:val="20"/>
              </w:rPr>
              <w:t xml:space="preserve">Fecha: </w:t>
            </w:r>
          </w:p>
        </w:tc>
      </w:tr>
      <w:tr w:rsidR="0091703E" w:rsidRPr="0091703E" w:rsidTr="00240DB5">
        <w:trPr>
          <w:gridBefore w:val="1"/>
          <w:wBefore w:w="37" w:type="dxa"/>
          <w:trHeight w:val="20"/>
          <w:jc w:val="center"/>
        </w:trPr>
        <w:tc>
          <w:tcPr>
            <w:tcW w:w="9727" w:type="dxa"/>
            <w:gridSpan w:val="7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1703E" w:rsidRPr="0091703E" w:rsidRDefault="0091703E" w:rsidP="00D454A3">
            <w:pPr>
              <w:spacing w:after="0" w:line="256" w:lineRule="auto"/>
              <w:ind w:left="67"/>
              <w:jc w:val="both"/>
              <w:rPr>
                <w:rFonts w:cs="Calibri"/>
                <w:sz w:val="20"/>
              </w:rPr>
            </w:pPr>
            <w:r w:rsidRPr="0091703E">
              <w:rPr>
                <w:rFonts w:cs="Calibri"/>
                <w:b/>
                <w:bCs/>
                <w:kern w:val="24"/>
                <w:sz w:val="20"/>
              </w:rPr>
              <w:t xml:space="preserve">Partes intervinientes: </w:t>
            </w:r>
          </w:p>
        </w:tc>
      </w:tr>
      <w:tr w:rsidR="00974A19" w:rsidRPr="0091703E" w:rsidTr="00240DB5">
        <w:trPr>
          <w:gridBefore w:val="1"/>
          <w:wBefore w:w="37" w:type="dxa"/>
          <w:trHeight w:val="20"/>
          <w:jc w:val="center"/>
        </w:trPr>
        <w:tc>
          <w:tcPr>
            <w:tcW w:w="9727" w:type="dxa"/>
            <w:gridSpan w:val="7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74A19" w:rsidRPr="0091703E" w:rsidRDefault="00974A19" w:rsidP="00974A19">
            <w:pPr>
              <w:spacing w:after="0" w:line="256" w:lineRule="auto"/>
              <w:ind w:left="67"/>
              <w:jc w:val="both"/>
              <w:rPr>
                <w:rFonts w:cs="Calibri"/>
                <w:b/>
                <w:bCs/>
                <w:kern w:val="24"/>
                <w:sz w:val="20"/>
              </w:rPr>
            </w:pPr>
            <w:r>
              <w:rPr>
                <w:rFonts w:cs="Calibri"/>
                <w:b/>
                <w:bCs/>
                <w:kern w:val="24"/>
                <w:sz w:val="20"/>
              </w:rPr>
              <w:t>Materia:</w:t>
            </w:r>
            <w:r>
              <w:t xml:space="preserve"> </w:t>
            </w:r>
          </w:p>
        </w:tc>
      </w:tr>
      <w:tr w:rsidR="0091703E" w:rsidRPr="0091703E" w:rsidTr="00240DB5">
        <w:trPr>
          <w:gridBefore w:val="1"/>
          <w:wBefore w:w="37" w:type="dxa"/>
          <w:trHeight w:val="315"/>
          <w:jc w:val="center"/>
        </w:trPr>
        <w:tc>
          <w:tcPr>
            <w:tcW w:w="4815" w:type="dxa"/>
            <w:gridSpan w:val="3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1703E" w:rsidRPr="0091703E" w:rsidRDefault="0091703E" w:rsidP="00D454A3">
            <w:pPr>
              <w:spacing w:after="0" w:line="256" w:lineRule="auto"/>
              <w:ind w:left="67"/>
              <w:jc w:val="both"/>
              <w:rPr>
                <w:rFonts w:cs="Calibri"/>
                <w:sz w:val="20"/>
              </w:rPr>
            </w:pPr>
            <w:r w:rsidRPr="0091703E">
              <w:rPr>
                <w:rFonts w:cs="Calibri"/>
                <w:b/>
                <w:bCs/>
                <w:kern w:val="24"/>
                <w:sz w:val="20"/>
              </w:rPr>
              <w:t xml:space="preserve">Tipo de proceso: </w:t>
            </w:r>
          </w:p>
        </w:tc>
        <w:tc>
          <w:tcPr>
            <w:tcW w:w="4912" w:type="dxa"/>
            <w:gridSpan w:val="4"/>
            <w:shd w:val="clear" w:color="auto" w:fill="FFFFFF"/>
            <w:vAlign w:val="center"/>
          </w:tcPr>
          <w:p w:rsidR="0091703E" w:rsidRPr="0091703E" w:rsidRDefault="0091703E" w:rsidP="00D454A3">
            <w:pPr>
              <w:spacing w:after="0" w:line="256" w:lineRule="auto"/>
              <w:ind w:left="67"/>
              <w:jc w:val="both"/>
              <w:rPr>
                <w:rFonts w:cs="Calibri"/>
                <w:sz w:val="20"/>
              </w:rPr>
            </w:pPr>
            <w:r w:rsidRPr="0091703E">
              <w:rPr>
                <w:rFonts w:cs="Calibri"/>
                <w:b/>
                <w:bCs/>
                <w:kern w:val="24"/>
                <w:sz w:val="20"/>
              </w:rPr>
              <w:t xml:space="preserve"> Clase de decisión: </w:t>
            </w:r>
            <w:r w:rsidRPr="0091703E">
              <w:rPr>
                <w:rFonts w:cs="Calibri"/>
                <w:bCs/>
                <w:kern w:val="24"/>
                <w:sz w:val="20"/>
              </w:rPr>
              <w:t xml:space="preserve"> </w:t>
            </w:r>
          </w:p>
        </w:tc>
      </w:tr>
      <w:tr w:rsidR="0091703E" w:rsidRPr="0091703E" w:rsidTr="00240DB5">
        <w:trPr>
          <w:gridBefore w:val="1"/>
          <w:wBefore w:w="37" w:type="dxa"/>
          <w:trHeight w:val="315"/>
          <w:jc w:val="center"/>
        </w:trPr>
        <w:tc>
          <w:tcPr>
            <w:tcW w:w="9727" w:type="dxa"/>
            <w:gridSpan w:val="7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1703E" w:rsidRPr="0091703E" w:rsidRDefault="0091703E" w:rsidP="00D454A3">
            <w:pPr>
              <w:spacing w:after="0" w:line="256" w:lineRule="auto"/>
              <w:ind w:left="67"/>
              <w:jc w:val="both"/>
              <w:rPr>
                <w:rFonts w:cs="Calibri"/>
                <w:b/>
                <w:bCs/>
                <w:kern w:val="24"/>
                <w:sz w:val="20"/>
              </w:rPr>
            </w:pPr>
            <w:r w:rsidRPr="0091703E">
              <w:rPr>
                <w:rFonts w:cs="Calibri"/>
                <w:b/>
                <w:bCs/>
                <w:kern w:val="24"/>
                <w:sz w:val="20"/>
              </w:rPr>
              <w:t xml:space="preserve">Autoridad que toma la decisión: </w:t>
            </w:r>
          </w:p>
        </w:tc>
      </w:tr>
      <w:tr w:rsidR="00974A19" w:rsidRPr="0091703E" w:rsidTr="00240DB5">
        <w:trPr>
          <w:gridBefore w:val="1"/>
          <w:wBefore w:w="37" w:type="dxa"/>
          <w:trHeight w:val="315"/>
          <w:jc w:val="center"/>
        </w:trPr>
        <w:tc>
          <w:tcPr>
            <w:tcW w:w="9727" w:type="dxa"/>
            <w:gridSpan w:val="7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74A19" w:rsidRDefault="00974A19" w:rsidP="00D454A3">
            <w:pPr>
              <w:spacing w:after="0" w:line="256" w:lineRule="auto"/>
              <w:ind w:left="67"/>
              <w:jc w:val="both"/>
              <w:rPr>
                <w:rFonts w:cs="Calibri"/>
                <w:b/>
                <w:bCs/>
                <w:kern w:val="24"/>
                <w:sz w:val="20"/>
              </w:rPr>
            </w:pPr>
            <w:r>
              <w:rPr>
                <w:rFonts w:cs="Calibri"/>
                <w:b/>
                <w:bCs/>
                <w:kern w:val="24"/>
                <w:sz w:val="20"/>
              </w:rPr>
              <w:t>Considerando relevante:</w:t>
            </w:r>
          </w:p>
          <w:p w:rsidR="00974A19" w:rsidRPr="0091703E" w:rsidRDefault="00974A19" w:rsidP="00D454A3">
            <w:pPr>
              <w:spacing w:after="0" w:line="256" w:lineRule="auto"/>
              <w:ind w:left="67"/>
              <w:jc w:val="both"/>
              <w:rPr>
                <w:rFonts w:cs="Calibri"/>
                <w:b/>
                <w:bCs/>
                <w:kern w:val="24"/>
                <w:sz w:val="20"/>
              </w:rPr>
            </w:pPr>
          </w:p>
        </w:tc>
      </w:tr>
      <w:tr w:rsidR="0091703E" w:rsidRPr="0091703E" w:rsidTr="00240DB5">
        <w:trPr>
          <w:gridBefore w:val="1"/>
          <w:wBefore w:w="37" w:type="dxa"/>
          <w:trHeight w:val="315"/>
          <w:jc w:val="center"/>
        </w:trPr>
        <w:tc>
          <w:tcPr>
            <w:tcW w:w="9727" w:type="dxa"/>
            <w:gridSpan w:val="7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91703E" w:rsidRPr="0091703E" w:rsidRDefault="0091703E" w:rsidP="00D454A3">
            <w:pPr>
              <w:spacing w:after="0" w:line="256" w:lineRule="auto"/>
              <w:ind w:left="67"/>
              <w:jc w:val="both"/>
              <w:rPr>
                <w:rFonts w:cs="Calibri"/>
                <w:b/>
                <w:bCs/>
                <w:kern w:val="24"/>
                <w:sz w:val="20"/>
              </w:rPr>
            </w:pPr>
            <w:r w:rsidRPr="0091703E">
              <w:rPr>
                <w:rFonts w:cs="Calibri"/>
                <w:b/>
                <w:bCs/>
                <w:kern w:val="24"/>
                <w:sz w:val="20"/>
              </w:rPr>
              <w:t>Tema/s tratados en el caso:</w:t>
            </w:r>
          </w:p>
        </w:tc>
      </w:tr>
      <w:tr w:rsidR="00D25FA7" w:rsidRPr="0091703E" w:rsidTr="00240DB5">
        <w:trPr>
          <w:gridBefore w:val="1"/>
          <w:wBefore w:w="37" w:type="dxa"/>
          <w:trHeight w:val="315"/>
          <w:jc w:val="center"/>
        </w:trPr>
        <w:tc>
          <w:tcPr>
            <w:tcW w:w="9727" w:type="dxa"/>
            <w:gridSpan w:val="7"/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D25FA7" w:rsidRDefault="00D25FA7" w:rsidP="00D454A3">
            <w:pPr>
              <w:spacing w:after="0" w:line="256" w:lineRule="auto"/>
              <w:ind w:left="67"/>
              <w:jc w:val="both"/>
              <w:rPr>
                <w:rFonts w:cs="Calibri"/>
                <w:b/>
                <w:bCs/>
                <w:kern w:val="24"/>
                <w:sz w:val="20"/>
              </w:rPr>
            </w:pPr>
            <w:r>
              <w:rPr>
                <w:rFonts w:cs="Calibri"/>
                <w:b/>
                <w:bCs/>
                <w:kern w:val="24"/>
                <w:sz w:val="20"/>
              </w:rPr>
              <w:t>Resumen del caso:</w:t>
            </w:r>
          </w:p>
          <w:p w:rsidR="00D25FA7" w:rsidRPr="0091703E" w:rsidRDefault="00D25FA7" w:rsidP="00D454A3">
            <w:pPr>
              <w:spacing w:after="0" w:line="256" w:lineRule="auto"/>
              <w:ind w:left="67"/>
              <w:jc w:val="both"/>
              <w:rPr>
                <w:rFonts w:cs="Calibri"/>
                <w:b/>
                <w:bCs/>
                <w:kern w:val="24"/>
                <w:sz w:val="20"/>
              </w:rPr>
            </w:pPr>
          </w:p>
        </w:tc>
      </w:tr>
      <w:tr w:rsidR="0091703E" w:rsidRPr="0091703E" w:rsidTr="00240DB5">
        <w:tblPrEx>
          <w:tblCellMar>
            <w:left w:w="108" w:type="dxa"/>
            <w:right w:w="108" w:type="dxa"/>
          </w:tblCellMar>
        </w:tblPrEx>
        <w:trPr>
          <w:gridAfter w:val="1"/>
          <w:wAfter w:w="35" w:type="dxa"/>
          <w:jc w:val="center"/>
        </w:trPr>
        <w:tc>
          <w:tcPr>
            <w:tcW w:w="2278" w:type="dxa"/>
            <w:gridSpan w:val="2"/>
            <w:shd w:val="clear" w:color="auto" w:fill="auto"/>
          </w:tcPr>
          <w:p w:rsidR="0091703E" w:rsidRPr="0091703E" w:rsidRDefault="0091703E" w:rsidP="001D386B">
            <w:pPr>
              <w:spacing w:after="0"/>
              <w:jc w:val="center"/>
              <w:rPr>
                <w:rFonts w:cs="Calibri"/>
                <w:b/>
                <w:bCs/>
                <w:kern w:val="24"/>
                <w:sz w:val="18"/>
                <w:szCs w:val="18"/>
              </w:rPr>
            </w:pPr>
            <w:r w:rsidRPr="0091703E">
              <w:rPr>
                <w:rFonts w:cs="Calibri"/>
                <w:b/>
                <w:bCs/>
                <w:kern w:val="24"/>
                <w:sz w:val="18"/>
                <w:szCs w:val="18"/>
              </w:rPr>
              <w:t>CRITERIO</w:t>
            </w:r>
          </w:p>
          <w:p w:rsidR="0091703E" w:rsidRPr="0091703E" w:rsidRDefault="0091703E" w:rsidP="001D386B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1703E">
              <w:rPr>
                <w:i/>
                <w:sz w:val="16"/>
                <w:szCs w:val="18"/>
              </w:rPr>
              <w:t>(Lineamientos a analizar que sirven de apoyo para elaborar la sentencia con perspectiva de género)</w:t>
            </w:r>
          </w:p>
        </w:tc>
        <w:tc>
          <w:tcPr>
            <w:tcW w:w="3997" w:type="dxa"/>
            <w:gridSpan w:val="3"/>
            <w:shd w:val="clear" w:color="auto" w:fill="auto"/>
          </w:tcPr>
          <w:p w:rsidR="0091703E" w:rsidRPr="0091703E" w:rsidRDefault="0091703E" w:rsidP="001D386B">
            <w:pPr>
              <w:spacing w:after="0"/>
              <w:jc w:val="center"/>
              <w:rPr>
                <w:rFonts w:cs="Calibri"/>
                <w:b/>
                <w:bCs/>
                <w:kern w:val="24"/>
                <w:sz w:val="18"/>
                <w:szCs w:val="18"/>
              </w:rPr>
            </w:pPr>
            <w:r w:rsidRPr="0091703E">
              <w:rPr>
                <w:rFonts w:cs="Calibri"/>
                <w:b/>
                <w:bCs/>
                <w:kern w:val="24"/>
                <w:sz w:val="18"/>
                <w:szCs w:val="18"/>
              </w:rPr>
              <w:t>SENTENCIA</w:t>
            </w:r>
          </w:p>
          <w:p w:rsidR="0091703E" w:rsidRPr="0091703E" w:rsidRDefault="0091703E" w:rsidP="001D386B">
            <w:pPr>
              <w:spacing w:after="0"/>
              <w:jc w:val="center"/>
              <w:rPr>
                <w:i/>
                <w:sz w:val="16"/>
                <w:szCs w:val="18"/>
              </w:rPr>
            </w:pPr>
            <w:r w:rsidRPr="0091703E">
              <w:rPr>
                <w:i/>
                <w:sz w:val="16"/>
                <w:szCs w:val="18"/>
              </w:rPr>
              <w:t>(Transcripción de extractos de los</w:t>
            </w:r>
          </w:p>
          <w:p w:rsidR="0091703E" w:rsidRPr="0091703E" w:rsidRDefault="0091703E" w:rsidP="001D386B">
            <w:pPr>
              <w:spacing w:after="0"/>
              <w:jc w:val="center"/>
              <w:rPr>
                <w:i/>
                <w:sz w:val="16"/>
                <w:szCs w:val="18"/>
              </w:rPr>
            </w:pPr>
            <w:r w:rsidRPr="0091703E">
              <w:rPr>
                <w:i/>
                <w:sz w:val="16"/>
                <w:szCs w:val="18"/>
              </w:rPr>
              <w:t>considerandos de la sentencia que</w:t>
            </w:r>
          </w:p>
          <w:p w:rsidR="0091703E" w:rsidRPr="0091703E" w:rsidRDefault="0091703E" w:rsidP="001D386B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1703E">
              <w:rPr>
                <w:i/>
                <w:sz w:val="16"/>
                <w:szCs w:val="18"/>
              </w:rPr>
              <w:t>identifican los criterios)- (O consideraciones al caso)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91703E" w:rsidRPr="0091703E" w:rsidRDefault="0091703E" w:rsidP="001D386B">
            <w:pPr>
              <w:spacing w:after="0"/>
              <w:jc w:val="center"/>
              <w:rPr>
                <w:rFonts w:cs="Calibri"/>
                <w:b/>
                <w:bCs/>
                <w:kern w:val="24"/>
                <w:sz w:val="18"/>
                <w:szCs w:val="18"/>
              </w:rPr>
            </w:pPr>
            <w:r w:rsidRPr="0091703E">
              <w:rPr>
                <w:rFonts w:cs="Calibri"/>
                <w:b/>
                <w:bCs/>
                <w:kern w:val="24"/>
                <w:sz w:val="18"/>
                <w:szCs w:val="18"/>
              </w:rPr>
              <w:t>ANÁLISIS PEDAGÓGICO</w:t>
            </w:r>
          </w:p>
          <w:p w:rsidR="0091703E" w:rsidRPr="0091703E" w:rsidRDefault="0091703E" w:rsidP="001D386B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1703E">
              <w:rPr>
                <w:i/>
                <w:sz w:val="16"/>
                <w:szCs w:val="18"/>
              </w:rPr>
              <w:t>(Comentario o análisis sobre el hallazgo o el vacío relativo al criterio)</w:t>
            </w:r>
          </w:p>
        </w:tc>
      </w:tr>
      <w:tr w:rsidR="0091703E" w:rsidRPr="0091703E" w:rsidTr="00240DB5">
        <w:tblPrEx>
          <w:tblCellMar>
            <w:left w:w="108" w:type="dxa"/>
            <w:right w:w="108" w:type="dxa"/>
          </w:tblCellMar>
        </w:tblPrEx>
        <w:trPr>
          <w:gridAfter w:val="1"/>
          <w:wAfter w:w="35" w:type="dxa"/>
          <w:jc w:val="center"/>
        </w:trPr>
        <w:tc>
          <w:tcPr>
            <w:tcW w:w="9729" w:type="dxa"/>
            <w:gridSpan w:val="7"/>
            <w:shd w:val="clear" w:color="auto" w:fill="622D50"/>
            <w:vAlign w:val="center"/>
          </w:tcPr>
          <w:p w:rsidR="0091703E" w:rsidRPr="0091703E" w:rsidRDefault="0091703E" w:rsidP="00240DB5">
            <w:pPr>
              <w:spacing w:after="0" w:line="256" w:lineRule="auto"/>
              <w:jc w:val="both"/>
              <w:rPr>
                <w:b/>
                <w:sz w:val="18"/>
                <w:szCs w:val="18"/>
              </w:rPr>
            </w:pPr>
            <w:r w:rsidRPr="00240DB5">
              <w:rPr>
                <w:rFonts w:cs="Calibri"/>
                <w:b/>
                <w:bCs/>
                <w:color w:val="FFFFFF" w:themeColor="background1"/>
                <w:kern w:val="24"/>
              </w:rPr>
              <w:t>PASO I: Identificación del caso</w:t>
            </w:r>
          </w:p>
        </w:tc>
      </w:tr>
      <w:tr w:rsidR="0091703E" w:rsidRPr="0091703E" w:rsidTr="00240DB5">
        <w:tblPrEx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1296"/>
          <w:jc w:val="center"/>
        </w:trPr>
        <w:tc>
          <w:tcPr>
            <w:tcW w:w="2278" w:type="dxa"/>
            <w:gridSpan w:val="2"/>
            <w:shd w:val="clear" w:color="auto" w:fill="auto"/>
            <w:vAlign w:val="center"/>
          </w:tcPr>
          <w:p w:rsidR="0091703E" w:rsidRPr="00BD0770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  <w:r w:rsidRPr="00BD0770">
              <w:rPr>
                <w:rFonts w:cs="Calibri"/>
                <w:b/>
                <w:bCs/>
                <w:kern w:val="24"/>
                <w:sz w:val="18"/>
                <w:szCs w:val="18"/>
              </w:rPr>
              <w:t xml:space="preserve"> Analizar el contexto en que se desarrollan los hechos.</w:t>
            </w: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240DB5">
        <w:tblPrEx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1701"/>
          <w:jc w:val="center"/>
        </w:trPr>
        <w:tc>
          <w:tcPr>
            <w:tcW w:w="2278" w:type="dxa"/>
            <w:gridSpan w:val="2"/>
            <w:shd w:val="clear" w:color="auto" w:fill="auto"/>
            <w:vAlign w:val="center"/>
          </w:tcPr>
          <w:p w:rsidR="0091703E" w:rsidRPr="00BD0770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  <w:r w:rsidRPr="00BD0770">
              <w:rPr>
                <w:rFonts w:cs="Calibri"/>
                <w:b/>
                <w:bCs/>
                <w:kern w:val="24"/>
                <w:sz w:val="18"/>
                <w:szCs w:val="18"/>
              </w:rPr>
              <w:t xml:space="preserve">Identificar las partes o sujetos procesales, desde las </w:t>
            </w:r>
            <w:r w:rsidRPr="00BD0770">
              <w:rPr>
                <w:rFonts w:cs="Calibri"/>
                <w:b/>
                <w:kern w:val="24"/>
                <w:sz w:val="18"/>
                <w:szCs w:val="18"/>
              </w:rPr>
              <w:t>“categorías sospechosas”.</w:t>
            </w: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240DB5">
        <w:tblPrEx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1701"/>
          <w:jc w:val="center"/>
        </w:trPr>
        <w:tc>
          <w:tcPr>
            <w:tcW w:w="2278" w:type="dxa"/>
            <w:gridSpan w:val="2"/>
            <w:shd w:val="clear" w:color="auto" w:fill="auto"/>
            <w:vAlign w:val="center"/>
          </w:tcPr>
          <w:p w:rsidR="0091703E" w:rsidRPr="00BD0770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  <w:r w:rsidRPr="00BD0770">
              <w:rPr>
                <w:rFonts w:cs="Arial"/>
                <w:b/>
                <w:sz w:val="18"/>
                <w:szCs w:val="18"/>
                <w:lang w:val="es-ES"/>
              </w:rPr>
              <w:t>Identificar</w:t>
            </w:r>
            <w:r w:rsidRPr="00BD0770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BD0770">
              <w:rPr>
                <w:rFonts w:cs="Calibri"/>
                <w:b/>
                <w:bCs/>
                <w:kern w:val="24"/>
                <w:sz w:val="18"/>
                <w:szCs w:val="18"/>
              </w:rPr>
              <w:t>los derechos reclamados o vulnerados</w:t>
            </w:r>
            <w:r w:rsidR="00FC7ED6">
              <w:rPr>
                <w:rFonts w:cs="Calibri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240DB5">
        <w:tblPrEx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1701"/>
          <w:jc w:val="center"/>
        </w:trPr>
        <w:tc>
          <w:tcPr>
            <w:tcW w:w="2278" w:type="dxa"/>
            <w:gridSpan w:val="2"/>
            <w:shd w:val="clear" w:color="auto" w:fill="auto"/>
            <w:vAlign w:val="center"/>
          </w:tcPr>
          <w:p w:rsidR="0091703E" w:rsidRPr="00BD0770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  <w:r w:rsidRPr="00BD0770">
              <w:rPr>
                <w:rFonts w:cs="Calibri"/>
                <w:b/>
                <w:bCs/>
                <w:kern w:val="24"/>
                <w:sz w:val="18"/>
                <w:szCs w:val="18"/>
              </w:rPr>
              <w:t>Revisar  la necesidad de disponer o no, de medidas de protección</w:t>
            </w:r>
            <w:r w:rsidR="00FC7ED6">
              <w:rPr>
                <w:rFonts w:cs="Calibri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3997" w:type="dxa"/>
            <w:gridSpan w:val="3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91703E" w:rsidRDefault="0091703E" w:rsidP="0091703E">
      <w:pPr>
        <w:jc w:val="both"/>
      </w:pPr>
    </w:p>
    <w:p w:rsidR="00240DB5" w:rsidRPr="0091703E" w:rsidRDefault="00240DB5" w:rsidP="0091703E">
      <w:pPr>
        <w:jc w:val="both"/>
      </w:pPr>
    </w:p>
    <w:tbl>
      <w:tblPr>
        <w:tblW w:w="972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4698"/>
        <w:gridCol w:w="2753"/>
      </w:tblGrid>
      <w:tr w:rsidR="0091703E" w:rsidRPr="0091703E" w:rsidTr="00240DB5">
        <w:trPr>
          <w:trHeight w:val="291"/>
          <w:jc w:val="center"/>
        </w:trPr>
        <w:tc>
          <w:tcPr>
            <w:tcW w:w="9729" w:type="dxa"/>
            <w:gridSpan w:val="3"/>
            <w:shd w:val="clear" w:color="auto" w:fill="622D50"/>
            <w:vAlign w:val="center"/>
          </w:tcPr>
          <w:p w:rsidR="0091703E" w:rsidRPr="00240DB5" w:rsidRDefault="0091703E" w:rsidP="00D454A3">
            <w:pPr>
              <w:spacing w:after="0"/>
              <w:jc w:val="both"/>
              <w:rPr>
                <w:color w:val="FFFFFF" w:themeColor="background1"/>
                <w:sz w:val="18"/>
                <w:szCs w:val="18"/>
              </w:rPr>
            </w:pPr>
            <w:r w:rsidRPr="00240DB5">
              <w:rPr>
                <w:rFonts w:cs="Calibri"/>
                <w:b/>
                <w:bCs/>
                <w:color w:val="FFFFFF" w:themeColor="background1"/>
                <w:kern w:val="24"/>
                <w:sz w:val="20"/>
                <w:szCs w:val="20"/>
              </w:rPr>
              <w:lastRenderedPageBreak/>
              <w:t>PASO II: Análisis  y desarrollo del caso</w:t>
            </w:r>
          </w:p>
        </w:tc>
      </w:tr>
      <w:tr w:rsidR="0091703E" w:rsidRPr="0091703E" w:rsidTr="00D454A3">
        <w:trPr>
          <w:trHeight w:val="1769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Actuar con observancia de la debida diligencia judicial para garantizar el acceso a la justicia</w:t>
            </w:r>
            <w:r w:rsidR="00FC7E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D454A3">
        <w:trPr>
          <w:trHeight w:val="1769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Identificar las relaciones de poder en la situación bajo estudio</w:t>
            </w:r>
            <w:r w:rsidR="00FC7E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D454A3">
        <w:trPr>
          <w:trHeight w:val="1769"/>
          <w:jc w:val="center"/>
        </w:trPr>
        <w:tc>
          <w:tcPr>
            <w:tcW w:w="2278" w:type="dxa"/>
            <w:shd w:val="clear" w:color="auto" w:fill="auto"/>
          </w:tcPr>
          <w:p w:rsidR="0091703E" w:rsidRPr="0091703E" w:rsidRDefault="0091703E" w:rsidP="00BD0770">
            <w:pPr>
              <w:spacing w:after="0"/>
              <w:jc w:val="both"/>
              <w:rPr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 xml:space="preserve"> Identificar los roles, estereotipos, mitos y prejuicios que puedan </w:t>
            </w:r>
            <w:r w:rsidR="00BD0770">
              <w:rPr>
                <w:b/>
                <w:bCs/>
                <w:sz w:val="18"/>
                <w:szCs w:val="18"/>
              </w:rPr>
              <w:t>surgir tanto desde la visión de la magistratura</w:t>
            </w:r>
            <w:r w:rsidRPr="0091703E">
              <w:rPr>
                <w:b/>
                <w:bCs/>
                <w:sz w:val="18"/>
                <w:szCs w:val="18"/>
              </w:rPr>
              <w:t>, como de las intervenciones de las partes</w:t>
            </w:r>
            <w:r w:rsidR="00FC7E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98" w:type="dxa"/>
            <w:shd w:val="clear" w:color="auto" w:fill="auto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D454A3">
        <w:trPr>
          <w:trHeight w:val="164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Identificar las manifestaciones sexistas que se presentan en el caso</w:t>
            </w:r>
            <w:r w:rsidR="00FC7E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D454A3">
        <w:trPr>
          <w:trHeight w:val="164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Establecer si en el caso concurren dos o más discriminaciones (género, raza, sexo, etnia, edad…) por lo que se requiere el análisis de la interseccionalidad.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240DB5">
        <w:trPr>
          <w:jc w:val="center"/>
        </w:trPr>
        <w:tc>
          <w:tcPr>
            <w:tcW w:w="9729" w:type="dxa"/>
            <w:gridSpan w:val="3"/>
            <w:shd w:val="clear" w:color="auto" w:fill="622D50"/>
            <w:vAlign w:val="center"/>
          </w:tcPr>
          <w:p w:rsidR="0091703E" w:rsidRPr="00240DB5" w:rsidRDefault="0091703E" w:rsidP="00D454A3">
            <w:pPr>
              <w:spacing w:after="0"/>
              <w:jc w:val="both"/>
              <w:rPr>
                <w:color w:val="FFFFFF" w:themeColor="background1"/>
                <w:sz w:val="18"/>
                <w:szCs w:val="18"/>
              </w:rPr>
            </w:pPr>
            <w:r w:rsidRPr="00240DB5">
              <w:rPr>
                <w:rFonts w:cs="Calibri"/>
                <w:b/>
                <w:bCs/>
                <w:color w:val="FFFFFF" w:themeColor="background1"/>
                <w:kern w:val="24"/>
                <w:sz w:val="20"/>
                <w:szCs w:val="20"/>
              </w:rPr>
              <w:t>PASO III: Revisión de las pruebas</w:t>
            </w:r>
          </w:p>
        </w:tc>
      </w:tr>
      <w:tr w:rsidR="0091703E" w:rsidRPr="0091703E" w:rsidTr="00D454A3">
        <w:trPr>
          <w:jc w:val="center"/>
        </w:trPr>
        <w:tc>
          <w:tcPr>
            <w:tcW w:w="2278" w:type="dxa"/>
            <w:shd w:val="clear" w:color="auto" w:fill="auto"/>
          </w:tcPr>
          <w:p w:rsidR="0091703E" w:rsidRPr="0091703E" w:rsidRDefault="0091703E" w:rsidP="00D454A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Examinar las pruebas bajo el esquema propio de valoración, en especial las relacionadas con la discriminación o la violencia, dado que a veces no se logra la prueba directa</w:t>
            </w:r>
            <w:r w:rsidR="00FC7E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98" w:type="dxa"/>
            <w:shd w:val="clear" w:color="auto" w:fill="auto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91703E" w:rsidRPr="0091703E" w:rsidRDefault="0091703E" w:rsidP="0091703E">
      <w:pPr>
        <w:jc w:val="both"/>
      </w:pPr>
    </w:p>
    <w:p w:rsidR="0091703E" w:rsidRDefault="0091703E" w:rsidP="0091703E">
      <w:pPr>
        <w:jc w:val="both"/>
      </w:pPr>
    </w:p>
    <w:p w:rsidR="00240DB5" w:rsidRDefault="00240DB5" w:rsidP="0091703E">
      <w:pPr>
        <w:jc w:val="both"/>
      </w:pPr>
    </w:p>
    <w:p w:rsidR="00240DB5" w:rsidRPr="0091703E" w:rsidRDefault="00240DB5" w:rsidP="0091703E">
      <w:pPr>
        <w:jc w:val="both"/>
      </w:pPr>
      <w:bookmarkStart w:id="0" w:name="_GoBack"/>
      <w:bookmarkEnd w:id="0"/>
    </w:p>
    <w:tbl>
      <w:tblPr>
        <w:tblW w:w="972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4698"/>
        <w:gridCol w:w="2753"/>
      </w:tblGrid>
      <w:tr w:rsidR="0091703E" w:rsidRPr="0091703E" w:rsidTr="00240DB5">
        <w:trPr>
          <w:jc w:val="center"/>
        </w:trPr>
        <w:tc>
          <w:tcPr>
            <w:tcW w:w="9729" w:type="dxa"/>
            <w:gridSpan w:val="3"/>
            <w:shd w:val="clear" w:color="auto" w:fill="622D50"/>
            <w:vAlign w:val="center"/>
          </w:tcPr>
          <w:p w:rsidR="0091703E" w:rsidRPr="00240DB5" w:rsidRDefault="0091703E" w:rsidP="00D454A3">
            <w:pPr>
              <w:spacing w:after="0"/>
              <w:jc w:val="both"/>
              <w:rPr>
                <w:color w:val="FFFFFF" w:themeColor="background1"/>
                <w:sz w:val="18"/>
                <w:szCs w:val="18"/>
              </w:rPr>
            </w:pPr>
            <w:r w:rsidRPr="00240DB5">
              <w:rPr>
                <w:rFonts w:cs="Calibri"/>
                <w:b/>
                <w:bCs/>
                <w:color w:val="FFFFFF" w:themeColor="background1"/>
                <w:kern w:val="24"/>
                <w:sz w:val="20"/>
                <w:szCs w:val="20"/>
              </w:rPr>
              <w:lastRenderedPageBreak/>
              <w:t>PASO IV: Examen Normativo</w:t>
            </w:r>
          </w:p>
        </w:tc>
      </w:tr>
      <w:tr w:rsidR="0091703E" w:rsidRPr="0091703E" w:rsidTr="00D454A3">
        <w:trPr>
          <w:trHeight w:val="2021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 xml:space="preserve">Revisar y aplicar las normas que conciernen al caso, teniendo en cuenta que en materia de DDHH, discriminación y acceso a la justicia, el marco normativo para el país es amplio.  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D454A3">
        <w:trPr>
          <w:trHeight w:val="1916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Analizar la aparente neutralidad de la norma a fin de determinar su alcance discriminatorio y evaluar el impacto diferenciado en su aplicación</w:t>
            </w:r>
            <w:r w:rsidR="00FC7E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240DB5">
        <w:trPr>
          <w:jc w:val="center"/>
        </w:trPr>
        <w:tc>
          <w:tcPr>
            <w:tcW w:w="9729" w:type="dxa"/>
            <w:gridSpan w:val="3"/>
            <w:shd w:val="clear" w:color="auto" w:fill="622D50"/>
            <w:vAlign w:val="center"/>
          </w:tcPr>
          <w:p w:rsidR="0091703E" w:rsidRPr="00240DB5" w:rsidRDefault="0091703E" w:rsidP="00D454A3">
            <w:pPr>
              <w:spacing w:after="0"/>
              <w:jc w:val="both"/>
              <w:rPr>
                <w:color w:val="FFFFFF" w:themeColor="background1"/>
                <w:sz w:val="18"/>
                <w:szCs w:val="18"/>
              </w:rPr>
            </w:pPr>
            <w:r w:rsidRPr="00240DB5">
              <w:rPr>
                <w:rFonts w:cs="Calibri"/>
                <w:b/>
                <w:bCs/>
                <w:color w:val="FFFFFF" w:themeColor="background1"/>
                <w:kern w:val="24"/>
                <w:sz w:val="20"/>
                <w:szCs w:val="20"/>
              </w:rPr>
              <w:t>PASO V:</w:t>
            </w:r>
            <w:r w:rsidRPr="00240DB5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240DB5">
              <w:rPr>
                <w:rFonts w:cs="Calibri"/>
                <w:b/>
                <w:bCs/>
                <w:color w:val="FFFFFF" w:themeColor="background1"/>
                <w:kern w:val="24"/>
                <w:sz w:val="20"/>
                <w:szCs w:val="20"/>
              </w:rPr>
              <w:t>Revisión de jurisprudencia y fuentes del derecho</w:t>
            </w:r>
          </w:p>
        </w:tc>
      </w:tr>
      <w:tr w:rsidR="0091703E" w:rsidRPr="0091703E" w:rsidTr="00D454A3">
        <w:trPr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Revisar y usar la jurisprudencia, la doctrina jurídica, los principios generales del derecho y los criterios de interpretación jurídica</w:t>
            </w:r>
            <w:r w:rsidR="00FC7E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240DB5">
        <w:trPr>
          <w:jc w:val="center"/>
        </w:trPr>
        <w:tc>
          <w:tcPr>
            <w:tcW w:w="9729" w:type="dxa"/>
            <w:gridSpan w:val="3"/>
            <w:shd w:val="clear" w:color="auto" w:fill="622D50"/>
            <w:vAlign w:val="center"/>
          </w:tcPr>
          <w:p w:rsidR="0091703E" w:rsidRPr="00240DB5" w:rsidRDefault="0091703E" w:rsidP="00D454A3">
            <w:pPr>
              <w:spacing w:after="0"/>
              <w:jc w:val="both"/>
              <w:rPr>
                <w:color w:val="FFFFFF" w:themeColor="background1"/>
                <w:sz w:val="18"/>
                <w:szCs w:val="18"/>
              </w:rPr>
            </w:pPr>
            <w:r w:rsidRPr="00240DB5">
              <w:rPr>
                <w:rFonts w:cs="Calibri"/>
                <w:b/>
                <w:bCs/>
                <w:color w:val="FFFFFF" w:themeColor="background1"/>
                <w:kern w:val="24"/>
                <w:sz w:val="20"/>
                <w:szCs w:val="20"/>
              </w:rPr>
              <w:t>PASO VI: La sentencia</w:t>
            </w:r>
          </w:p>
        </w:tc>
      </w:tr>
      <w:tr w:rsidR="0091703E" w:rsidRPr="0091703E" w:rsidTr="00D454A3">
        <w:trPr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Elaborar una decisión (sentencia) en un plazo razonable, con prioridad, con una hermenéutica sensitiva de género, dirigida a asegurar la igualdad, la no discriminación y el acceso a la justicia</w:t>
            </w:r>
            <w:r w:rsidR="00FC7E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D454A3">
        <w:trPr>
          <w:trHeight w:val="2274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Elaborar la decisión con tal rigor, que conlleve un efecto pedagógico orientado a la transformación cultural y a la no continuidad de conductas discriminatorias y violentas asegurando el acceso a la justicia.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91703E" w:rsidRPr="0091703E" w:rsidTr="00D454A3">
        <w:trPr>
          <w:trHeight w:val="1542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0091703E">
              <w:rPr>
                <w:b/>
                <w:bCs/>
                <w:sz w:val="18"/>
                <w:szCs w:val="18"/>
              </w:rPr>
              <w:t>Dictar medidas de reparación integral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91703E" w:rsidRPr="0091703E" w:rsidRDefault="0091703E" w:rsidP="00D454A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B84743" w:rsidRPr="0091703E" w:rsidRDefault="00B84743"/>
    <w:sectPr w:rsidR="00B84743" w:rsidRPr="0091703E" w:rsidSect="00240DB5">
      <w:headerReference w:type="default" r:id="rId7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51" w:rsidRDefault="00D34F51" w:rsidP="004234E7">
      <w:pPr>
        <w:spacing w:after="0" w:line="240" w:lineRule="auto"/>
      </w:pPr>
      <w:r>
        <w:separator/>
      </w:r>
    </w:p>
  </w:endnote>
  <w:endnote w:type="continuationSeparator" w:id="0">
    <w:p w:rsidR="00D34F51" w:rsidRDefault="00D34F51" w:rsidP="004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51" w:rsidRDefault="00D34F51" w:rsidP="004234E7">
      <w:pPr>
        <w:spacing w:after="0" w:line="240" w:lineRule="auto"/>
      </w:pPr>
      <w:r>
        <w:separator/>
      </w:r>
    </w:p>
  </w:footnote>
  <w:footnote w:type="continuationSeparator" w:id="0">
    <w:p w:rsidR="00D34F51" w:rsidRDefault="00D34F51" w:rsidP="004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09085"/>
      <w:docPartObj>
        <w:docPartGallery w:val="Page Numbers (Top of Page)"/>
        <w:docPartUnique/>
      </w:docPartObj>
    </w:sdtPr>
    <w:sdtEndPr/>
    <w:sdtContent>
      <w:p w:rsidR="004234E7" w:rsidRDefault="004234E7">
        <w:pPr>
          <w:pStyle w:val="Encabezado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40DB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40DB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234E7" w:rsidRDefault="004234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3E"/>
    <w:rsid w:val="000D4B85"/>
    <w:rsid w:val="001D386B"/>
    <w:rsid w:val="00240DB5"/>
    <w:rsid w:val="004234E7"/>
    <w:rsid w:val="006645DF"/>
    <w:rsid w:val="006E36E0"/>
    <w:rsid w:val="00737A6B"/>
    <w:rsid w:val="0091703E"/>
    <w:rsid w:val="00964B1F"/>
    <w:rsid w:val="00974A19"/>
    <w:rsid w:val="00B84743"/>
    <w:rsid w:val="00BD0770"/>
    <w:rsid w:val="00D25FA7"/>
    <w:rsid w:val="00D34F51"/>
    <w:rsid w:val="00E026A7"/>
    <w:rsid w:val="00E04689"/>
    <w:rsid w:val="00EA796A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CBEC7-B15F-4106-A956-E5929585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3E"/>
    <w:pPr>
      <w:spacing w:after="160" w:line="259" w:lineRule="auto"/>
    </w:pPr>
    <w:rPr>
      <w:lang w:val="es-CO"/>
    </w:rPr>
  </w:style>
  <w:style w:type="paragraph" w:styleId="Ttulo3">
    <w:name w:val="heading 3"/>
    <w:basedOn w:val="Normal"/>
    <w:next w:val="Normal"/>
    <w:link w:val="Ttulo3Car"/>
    <w:uiPriority w:val="9"/>
    <w:qFormat/>
    <w:rsid w:val="0091703E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1703E"/>
    <w:rPr>
      <w:rFonts w:ascii="Calibri Light" w:eastAsia="Times New Roman" w:hAnsi="Calibri Light" w:cs="Times New Roman"/>
      <w:b/>
      <w:bCs/>
      <w:sz w:val="26"/>
      <w:szCs w:val="26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423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4E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23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4E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GRANADOS ZAMBRANO</dc:creator>
  <cp:lastModifiedBy>Nicolás Rodríguez Ruiz</cp:lastModifiedBy>
  <cp:revision>2</cp:revision>
  <cp:lastPrinted>2018-08-21T17:17:00Z</cp:lastPrinted>
  <dcterms:created xsi:type="dcterms:W3CDTF">2020-12-09T18:35:00Z</dcterms:created>
  <dcterms:modified xsi:type="dcterms:W3CDTF">2020-12-09T18:35:00Z</dcterms:modified>
</cp:coreProperties>
</file>